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A74" w:rsidRDefault="009614C7" w:rsidP="009614C7">
      <w:pPr>
        <w:jc w:val="center"/>
        <w:rPr>
          <w:sz w:val="28"/>
          <w:szCs w:val="28"/>
          <w:u w:val="single"/>
        </w:rPr>
      </w:pPr>
      <w:bookmarkStart w:id="0" w:name="_GoBack"/>
      <w:bookmarkEnd w:id="0"/>
      <w:r>
        <w:rPr>
          <w:sz w:val="28"/>
          <w:szCs w:val="28"/>
          <w:u w:val="single"/>
        </w:rPr>
        <w:t>What has changed and what has stayed the same</w:t>
      </w:r>
    </w:p>
    <w:p w:rsidR="00E734C3" w:rsidRPr="00E734C3" w:rsidRDefault="00E734C3" w:rsidP="00E734C3">
      <w:pPr>
        <w:jc w:val="both"/>
        <w:rPr>
          <w:sz w:val="28"/>
          <w:szCs w:val="28"/>
        </w:rPr>
      </w:pPr>
      <w:r w:rsidRPr="00E734C3">
        <w:rPr>
          <w:sz w:val="28"/>
          <w:szCs w:val="28"/>
        </w:rPr>
        <w:t>(Please see FAQs</w:t>
      </w:r>
      <w:r>
        <w:rPr>
          <w:sz w:val="28"/>
          <w:szCs w:val="28"/>
        </w:rPr>
        <w:t xml:space="preserve"> for comment and advice on what these changes mean in practice.)</w:t>
      </w:r>
    </w:p>
    <w:p w:rsidR="009614C7" w:rsidRDefault="002C4939" w:rsidP="003A3D8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2C4939">
        <w:rPr>
          <w:sz w:val="28"/>
          <w:szCs w:val="28"/>
        </w:rPr>
        <w:t xml:space="preserve"> The </w:t>
      </w:r>
      <w:r>
        <w:rPr>
          <w:sz w:val="28"/>
          <w:szCs w:val="28"/>
        </w:rPr>
        <w:t>purpose of study and aims are virtually the same as Curriculum 2000</w:t>
      </w:r>
      <w:r w:rsidR="00E21D1C">
        <w:rPr>
          <w:sz w:val="28"/>
          <w:szCs w:val="28"/>
        </w:rPr>
        <w:t xml:space="preserve"> as are the specific historical skills</w:t>
      </w:r>
      <w:r>
        <w:rPr>
          <w:sz w:val="28"/>
          <w:szCs w:val="28"/>
        </w:rPr>
        <w:t>.</w:t>
      </w:r>
    </w:p>
    <w:p w:rsidR="00E21D1C" w:rsidRDefault="00E21D1C" w:rsidP="003A3D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As before, the progression of skills mentioned are taught through particular studies of periods, events or people.</w:t>
      </w:r>
    </w:p>
    <w:p w:rsidR="002C4939" w:rsidRDefault="002C4939" w:rsidP="003A3D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KS1. There is less emphasis on changes in their own lives and their family and more on changes in national life or that are ‘significant nationally or globally’.</w:t>
      </w:r>
    </w:p>
    <w:p w:rsidR="00E734C3" w:rsidRDefault="00E734C3" w:rsidP="003A3D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KS1. Studying events, people and places in their own locality is now required rather than being an option.</w:t>
      </w:r>
    </w:p>
    <w:p w:rsidR="00E734C3" w:rsidRDefault="00E734C3" w:rsidP="003A3D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KS1. The choice of events and changes within and beyond living memory, the significant individuals, events and places</w:t>
      </w:r>
      <w:r w:rsidR="00940EA3">
        <w:rPr>
          <w:sz w:val="28"/>
          <w:szCs w:val="28"/>
        </w:rPr>
        <w:t xml:space="preserve"> may be chosen by the teacher/school. Examples are non-statutory, they are just examples.</w:t>
      </w:r>
    </w:p>
    <w:p w:rsidR="00940EA3" w:rsidRDefault="00940EA3" w:rsidP="00940EA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KS1. At least once, the lives of significant people should be used to </w:t>
      </w:r>
      <w:proofErr w:type="gramStart"/>
      <w:r>
        <w:rPr>
          <w:sz w:val="28"/>
          <w:szCs w:val="28"/>
        </w:rPr>
        <w:t>compare</w:t>
      </w:r>
      <w:proofErr w:type="gramEnd"/>
      <w:r>
        <w:rPr>
          <w:sz w:val="28"/>
          <w:szCs w:val="28"/>
        </w:rPr>
        <w:t xml:space="preserve"> aspects of life in different periods. (They give lots of useful examples such as explorers, artists, scientists, freedom fighters or monarchs in different periods.)</w:t>
      </w:r>
    </w:p>
    <w:p w:rsidR="00940EA3" w:rsidRDefault="00B32445" w:rsidP="00940EA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KS2. The ‘study units’</w:t>
      </w:r>
      <w:r w:rsidR="00B32287">
        <w:rPr>
          <w:sz w:val="28"/>
          <w:szCs w:val="28"/>
        </w:rPr>
        <w:t xml:space="preserve"> should not all be taught at the same level of depth or detail. It is up to the teacher/school to decide the appropriate level of overview or depth study between and within units of study.</w:t>
      </w:r>
    </w:p>
    <w:p w:rsidR="00B32287" w:rsidRPr="00B32287" w:rsidRDefault="00B32287" w:rsidP="00B3228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As with KS1, only the title of study units is statutory. Examples are non-statutory, they are just examples. (Depending on the format of your curriculum document these may appear in faint text or in a text box.)</w:t>
      </w:r>
    </w:p>
    <w:p w:rsidR="00B32287" w:rsidRDefault="00B32287" w:rsidP="00940EA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KS2. </w:t>
      </w:r>
      <w:proofErr w:type="gramStart"/>
      <w:r>
        <w:rPr>
          <w:sz w:val="28"/>
          <w:szCs w:val="28"/>
        </w:rPr>
        <w:t>Changes in Britain from the Stone Age to the Iron Age is</w:t>
      </w:r>
      <w:proofErr w:type="gramEnd"/>
      <w:r>
        <w:rPr>
          <w:sz w:val="28"/>
          <w:szCs w:val="28"/>
        </w:rPr>
        <w:t xml:space="preserve"> new.</w:t>
      </w:r>
    </w:p>
    <w:p w:rsidR="00B32287" w:rsidRDefault="00B32287" w:rsidP="00940EA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KS2. Romans, Anglo-Saxons and Vikings now comprise three distinct study units which all have to be taught. They have some distinct changes in emphasis too (see below).</w:t>
      </w:r>
    </w:p>
    <w:p w:rsidR="00B32287" w:rsidRDefault="00B32287" w:rsidP="00940EA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KS2. The title </w:t>
      </w:r>
      <w:r w:rsidR="006215C2">
        <w:rPr>
          <w:i/>
          <w:sz w:val="28"/>
          <w:szCs w:val="28"/>
        </w:rPr>
        <w:t>the Roman Empire and its impact on Britain</w:t>
      </w:r>
      <w:r w:rsidR="006215C2">
        <w:rPr>
          <w:sz w:val="28"/>
          <w:szCs w:val="28"/>
        </w:rPr>
        <w:t xml:space="preserve"> </w:t>
      </w:r>
      <w:proofErr w:type="gramStart"/>
      <w:r w:rsidR="006215C2">
        <w:rPr>
          <w:sz w:val="28"/>
          <w:szCs w:val="28"/>
        </w:rPr>
        <w:t>implies</w:t>
      </w:r>
      <w:proofErr w:type="gramEnd"/>
      <w:r w:rsidR="006215C2">
        <w:rPr>
          <w:sz w:val="28"/>
          <w:szCs w:val="28"/>
        </w:rPr>
        <w:t xml:space="preserve"> more emphasis on the empire itself than the previous curriculum did.</w:t>
      </w:r>
    </w:p>
    <w:p w:rsidR="006215C2" w:rsidRDefault="006215C2" w:rsidP="00940EA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KS2. The Scots are mentioned by name and included with the Anglo-Saxons in the study of settlement after the Roman withdrawal.</w:t>
      </w:r>
    </w:p>
    <w:p w:rsidR="006215C2" w:rsidRDefault="006215C2" w:rsidP="00940EA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KS2. </w:t>
      </w:r>
      <w:r w:rsidR="00A054DC">
        <w:rPr>
          <w:sz w:val="28"/>
          <w:szCs w:val="28"/>
        </w:rPr>
        <w:t xml:space="preserve">The title </w:t>
      </w:r>
      <w:r w:rsidR="00A054DC">
        <w:rPr>
          <w:i/>
          <w:sz w:val="28"/>
          <w:szCs w:val="28"/>
        </w:rPr>
        <w:t xml:space="preserve">the Viking and Anglo-Saxon struggle for the Kingdom of England to the time of Edward the Confessor </w:t>
      </w:r>
      <w:r w:rsidR="00A054DC">
        <w:rPr>
          <w:sz w:val="28"/>
          <w:szCs w:val="28"/>
        </w:rPr>
        <w:t xml:space="preserve">implies more emphasis on the formation of a ‘Kingdom of England’ in the period, on settlement, resistance and integration and specific emphasis on significant </w:t>
      </w:r>
      <w:r w:rsidR="00270570">
        <w:rPr>
          <w:sz w:val="28"/>
          <w:szCs w:val="28"/>
        </w:rPr>
        <w:t>leaders in England in the period between AD 410 and Edward the Confessor’s death in 1066.</w:t>
      </w:r>
    </w:p>
    <w:p w:rsidR="00270570" w:rsidRDefault="0033310A" w:rsidP="00940EA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KS2. There is still a requirement to teach a local history unit.</w:t>
      </w:r>
    </w:p>
    <w:p w:rsidR="0033310A" w:rsidRDefault="00544B7C" w:rsidP="00940EA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KS2. </w:t>
      </w:r>
      <w:r w:rsidR="0033310A">
        <w:rPr>
          <w:sz w:val="28"/>
          <w:szCs w:val="28"/>
        </w:rPr>
        <w:t xml:space="preserve">There is a new unit entitled </w:t>
      </w:r>
      <w:r w:rsidR="0033310A">
        <w:rPr>
          <w:i/>
          <w:sz w:val="28"/>
          <w:szCs w:val="28"/>
        </w:rPr>
        <w:t>a study of an aspect or theme in British history that extends pupils’ chronological knowledge beyond 1066.</w:t>
      </w:r>
      <w:r w:rsidR="0033310A">
        <w:rPr>
          <w:sz w:val="28"/>
          <w:szCs w:val="28"/>
        </w:rPr>
        <w:t xml:space="preserve"> This allows teachers to</w:t>
      </w:r>
      <w:r w:rsidR="004E03BE">
        <w:rPr>
          <w:sz w:val="28"/>
          <w:szCs w:val="28"/>
        </w:rPr>
        <w:t xml:space="preserve"> focus on a period of more recent history but the emphasis should be on an ‘aspect or theme’ not just a period study.</w:t>
      </w:r>
    </w:p>
    <w:p w:rsidR="004E03BE" w:rsidRDefault="004E03BE" w:rsidP="00940EA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KS2. Specific units of study on British history since 1066 that existed in the previous curriculum (</w:t>
      </w:r>
      <w:r>
        <w:rPr>
          <w:i/>
          <w:sz w:val="28"/>
          <w:szCs w:val="28"/>
        </w:rPr>
        <w:t>Britain and the wider world in Tudor times, Victorian Britain, Britain since 1930)</w:t>
      </w:r>
      <w:r>
        <w:rPr>
          <w:sz w:val="28"/>
          <w:szCs w:val="28"/>
        </w:rPr>
        <w:t xml:space="preserve"> </w:t>
      </w:r>
      <w:r w:rsidR="00CC1CCF">
        <w:rPr>
          <w:sz w:val="28"/>
          <w:szCs w:val="28"/>
        </w:rPr>
        <w:t>no longer exist.</w:t>
      </w:r>
    </w:p>
    <w:p w:rsidR="00CC1CCF" w:rsidRDefault="00CC1CCF" w:rsidP="00940EA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KS2. Ancient Greece remains as a study unit (it used to be called </w:t>
      </w:r>
      <w:r>
        <w:rPr>
          <w:i/>
          <w:sz w:val="28"/>
          <w:szCs w:val="28"/>
        </w:rPr>
        <w:t>A European history study).</w:t>
      </w:r>
    </w:p>
    <w:p w:rsidR="00A93708" w:rsidRDefault="00CC1CCF" w:rsidP="00CC1CC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KS2. The previous ‘</w:t>
      </w:r>
      <w:r>
        <w:rPr>
          <w:i/>
          <w:sz w:val="28"/>
          <w:szCs w:val="28"/>
        </w:rPr>
        <w:t>World history study’</w:t>
      </w:r>
      <w:r>
        <w:rPr>
          <w:sz w:val="28"/>
          <w:szCs w:val="28"/>
        </w:rPr>
        <w:t xml:space="preserve"> now exists as two separate units. </w:t>
      </w:r>
      <w:r w:rsidR="00A93708">
        <w:rPr>
          <w:sz w:val="28"/>
          <w:szCs w:val="28"/>
        </w:rPr>
        <w:t>Of these:</w:t>
      </w:r>
    </w:p>
    <w:p w:rsidR="00A93708" w:rsidRDefault="00CC1CCF" w:rsidP="00A93708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One is specifically about the earliest civilisations and teachers </w:t>
      </w:r>
      <w:r w:rsidR="00A93708">
        <w:rPr>
          <w:sz w:val="28"/>
          <w:szCs w:val="28"/>
        </w:rPr>
        <w:t xml:space="preserve">need </w:t>
      </w:r>
      <w:proofErr w:type="gramStart"/>
      <w:r w:rsidR="00A93708">
        <w:rPr>
          <w:sz w:val="28"/>
          <w:szCs w:val="28"/>
        </w:rPr>
        <w:t xml:space="preserve">to </w:t>
      </w:r>
      <w:r>
        <w:rPr>
          <w:sz w:val="28"/>
          <w:szCs w:val="28"/>
        </w:rPr>
        <w:t xml:space="preserve"> do</w:t>
      </w:r>
      <w:proofErr w:type="gramEnd"/>
      <w:r>
        <w:rPr>
          <w:sz w:val="28"/>
          <w:szCs w:val="28"/>
        </w:rPr>
        <w:t xml:space="preserve"> an in-depth study of one of the following: </w:t>
      </w:r>
      <w:r w:rsidRPr="00CC1CCF">
        <w:rPr>
          <w:sz w:val="28"/>
          <w:szCs w:val="28"/>
        </w:rPr>
        <w:t>Ancient Egypt, Ancient Sumer, The Indus Valley or The Shang Dynasty of Ancient China.</w:t>
      </w:r>
      <w:r w:rsidR="00A93708">
        <w:rPr>
          <w:sz w:val="28"/>
          <w:szCs w:val="28"/>
        </w:rPr>
        <w:t xml:space="preserve"> </w:t>
      </w:r>
      <w:r>
        <w:rPr>
          <w:sz w:val="28"/>
          <w:szCs w:val="28"/>
        </w:rPr>
        <w:t>The Shang Dynasty is new to the curriculum.</w:t>
      </w:r>
    </w:p>
    <w:p w:rsidR="00CC1CCF" w:rsidRPr="00A93708" w:rsidRDefault="00A93708" w:rsidP="00A9370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A93708">
        <w:rPr>
          <w:sz w:val="28"/>
          <w:szCs w:val="28"/>
        </w:rPr>
        <w:t xml:space="preserve">The second unit is </w:t>
      </w:r>
      <w:r>
        <w:rPr>
          <w:sz w:val="28"/>
          <w:szCs w:val="28"/>
        </w:rPr>
        <w:t xml:space="preserve">about </w:t>
      </w:r>
      <w:r w:rsidRPr="00A93708">
        <w:rPr>
          <w:sz w:val="28"/>
          <w:szCs w:val="28"/>
        </w:rPr>
        <w:t>a non-European society</w:t>
      </w:r>
      <w:r>
        <w:rPr>
          <w:sz w:val="28"/>
          <w:szCs w:val="28"/>
        </w:rPr>
        <w:t xml:space="preserve"> and should contrast it with British history (presumably at the same period but it doesn’t actually say this). Teachers choose to do an in-depth study of one of the following: early Islamic civilisation including a study of Baghdad c. AD 900; Mayan civilisation c. AD 900; Benin (West Africa) c. 900 – 1300. The Islamic civilisation is new to the curriculum</w:t>
      </w:r>
      <w:r w:rsidR="00BD2A6D">
        <w:rPr>
          <w:sz w:val="28"/>
          <w:szCs w:val="28"/>
        </w:rPr>
        <w:t>. Options from the previous curriculum to study the Assyrian Empire or the Aztecs no longer exist.</w:t>
      </w:r>
    </w:p>
    <w:sectPr w:rsidR="00CC1CCF" w:rsidRPr="00A937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B5EA0"/>
    <w:multiLevelType w:val="hybridMultilevel"/>
    <w:tmpl w:val="EDD6AD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C43DA5"/>
    <w:multiLevelType w:val="hybridMultilevel"/>
    <w:tmpl w:val="471C8D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4C7"/>
    <w:rsid w:val="00270570"/>
    <w:rsid w:val="002C4939"/>
    <w:rsid w:val="0033310A"/>
    <w:rsid w:val="003A3D80"/>
    <w:rsid w:val="00442A74"/>
    <w:rsid w:val="004E03BE"/>
    <w:rsid w:val="00544B7C"/>
    <w:rsid w:val="006215C2"/>
    <w:rsid w:val="0066173E"/>
    <w:rsid w:val="00940EA3"/>
    <w:rsid w:val="009614C7"/>
    <w:rsid w:val="00A054DC"/>
    <w:rsid w:val="00A93708"/>
    <w:rsid w:val="00B32287"/>
    <w:rsid w:val="00B32445"/>
    <w:rsid w:val="00BD2A6D"/>
    <w:rsid w:val="00CC1CCF"/>
    <w:rsid w:val="00E21D1C"/>
    <w:rsid w:val="00E734C3"/>
    <w:rsid w:val="00FC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4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614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</dc:creator>
  <cp:lastModifiedBy>Alan</cp:lastModifiedBy>
  <cp:revision>2</cp:revision>
  <dcterms:created xsi:type="dcterms:W3CDTF">2014-01-16T13:21:00Z</dcterms:created>
  <dcterms:modified xsi:type="dcterms:W3CDTF">2014-01-16T13:21:00Z</dcterms:modified>
</cp:coreProperties>
</file>